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四川墙面变形缝厂家</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发布时间：2023-07-12</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四川墙面变形缝的计算规则</w:t>
      </w:r>
    </w:p>
    <w:p w:rsidR="00A77B3E">
      <w:pPr>
        <w:ind w:firstLine="480"/>
        <w:jc w:val="left"/>
        <w:rPr>
          <w:rFonts w:ascii="宋体" w:eastAsia="宋体" w:hAnsi="宋体" w:cs="宋体"/>
          <w:b w:val="0"/>
          <w:sz w:val="24"/>
        </w:rPr>
      </w:pPr>
      <w:r>
        <w:rPr>
          <w:rFonts w:ascii="宋体" w:eastAsia="宋体" w:hAnsi="宋体" w:cs="宋体"/>
          <w:b w:val="0"/>
          <w:sz w:val="24"/>
        </w:rPr>
        <w:t>1.地面变形缝，屋顶变形缝和屋顶变形缝可以根据图中所示的尺寸以米为单位进行计算。2.根据结构的高度，以米为单位计算内壁的变形缝，这是变形缝的二条计算规则。3.外墙的变形缝根据图中所示的尺寸以米为单位计算，这是变形缝的规则3。4.根据图中所示的尺寸，以米为单位计算门开口的变形缝，这是计算变形缝的规则4。5.墙体变形缝计算规则的工作内容包括：填缝，填充，除草，埋铁件，填充泡沫塑料，覆盖物和缝合板等。</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原文链接：http://www.cdhtzjs.com/qmbxf/88.html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