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德阳外墙变形缝销售</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德阳外墙变形缝是变形缝结构与设备分类中的一种，是以使用部位为设置依据的。外墙变形缝针对现代高建筑物和大规模建筑工程之热胀冷缩，楼宇高低不等而引起的沉降和地震时发生的楼宇摇晃设置的一种保障稳定的建筑装置。</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原文链接：http://www.cdhtzjs.com/wqbxf/81.html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